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Wedding Venue Pricing Guide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This pricing guide provides a clear breakdown of venue packages, add‑ons, policies, and booking requirements.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Booking Requirements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$1,000 non‑refundable deposit required to reserve the date.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Signed contract required at time of booking.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Final planning meeting held 30 days before the wedding.</w:t>
      </w:r>
    </w:p>
    <w:p w:rsidR="00000000" w:rsidDel="00000000" w:rsidP="00000000" w:rsidRDefault="00000000" w:rsidRPr="00000000" w14:paraId="00000008">
      <w:pPr>
        <w:keepNext w:val="1"/>
        <w:keepLines w:val="1"/>
        <w:spacing w:after="0" w:before="480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Choosing a Date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Lock in your wedding date by selecting your preferred package and the Saturday you wish to book. Email us with the date and package you’d like, and a contract will be sent to you within 4 days. Return the signed contract along with the required $1,000 non‑refundable deposit, and your date is officially reserved.</w:t>
      </w:r>
    </w:p>
    <w:p w:rsidR="00000000" w:rsidDel="00000000" w:rsidP="00000000" w:rsidRDefault="00000000" w:rsidRPr="00000000" w14:paraId="0000000A">
      <w:pPr>
        <w:keepNext w:val="1"/>
        <w:keepLines w:val="1"/>
        <w:spacing w:after="0" w:before="480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Vendors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You are welcome to use any licensed vendor you prefer. However, vendors not listed on our preferred list must complete a short vendor questionnaire. Additional insurance may be required at either the vendor’s or your expense.</w:t>
      </w:r>
    </w:p>
    <w:p w:rsidR="00000000" w:rsidDel="00000000" w:rsidP="00000000" w:rsidRDefault="00000000" w:rsidRPr="00000000" w14:paraId="0000000C">
      <w:pPr>
        <w:keepNext w:val="1"/>
        <w:keepLines w:val="1"/>
        <w:spacing w:after="0" w:before="480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Final Touches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30 days before your wedding, we will meet in person to finalize your complete wedding‑day timeline. This meeting covers logistics, décor placement, vendor coordination, and all expectations from start to finish.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/>
      </w:pPr>
      <w:r w:rsidDel="00000000" w:rsidR="00000000" w:rsidRPr="00000000">
        <w:rPr>
          <w:rtl w:val="0"/>
        </w:rPr>
        <w:t xml:space="preserve">Venue Packages</w:t>
      </w:r>
    </w:p>
    <w:p w:rsidR="00000000" w:rsidDel="00000000" w:rsidP="00000000" w:rsidRDefault="00000000" w:rsidRPr="00000000" w14:paraId="00000017">
      <w:pPr>
        <w:pStyle w:val="Heading2"/>
        <w:rPr/>
      </w:pPr>
      <w:r w:rsidDel="00000000" w:rsidR="00000000" w:rsidRPr="00000000">
        <w:rPr>
          <w:rtl w:val="0"/>
        </w:rPr>
        <w:t xml:space="preserve">Shot Gun – $4,800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Bridal Suite access 5 hours before ceremony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- 5-hour ceremony + reception window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Covered ceremony space with bench seating (up to 150 guests)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Tables with linens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 Two catering tables with linen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Indoor handicap restroom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 Parking attendants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Exclusive farm use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- 3-hour decorating time the day prior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Day‑of Coordinator + 30‑day planning meeting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Two bartenders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Full clean‑up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tl w:val="0"/>
        </w:rPr>
        <w:t xml:space="preserve">Daddy’s Little Girl – $5,600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Bridal Suite access (one night stay)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- 5-hour ceremony + reception window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Covered ceremony space, seating (up to 150 guests)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- Tables with linens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- Two catering tables with linen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- Restrooms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- Parking attendants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- Exclusive farm use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- 4-hour decorating time the day prior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Coordinator + planning meeting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Two bartenders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 Full clean‑up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- Barn door &amp; ceremony drapery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rPr/>
      </w:pPr>
      <w:r w:rsidDel="00000000" w:rsidR="00000000" w:rsidRPr="00000000">
        <w:rPr>
          <w:rtl w:val="0"/>
        </w:rPr>
        <w:t xml:space="preserve">The Happy Couple – $6,500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- Bridal Suite access (two night stay)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- 6-hour ceremony + reception window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- Covered ceremony space (up to 150 guests)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- Tables with linens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- Two catering tables with linen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- Restrooms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- Exclusive farm use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- Custom décor service (use venue décor or your own)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- 1-hour rehearsal &amp; drop‑off the night before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- Coordinator + planning meeting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- Two bartenders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- Full clean‑up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- Barn door &amp; ceremony drapery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keepLines w:val="1"/>
        <w:spacing w:after="0" w:before="480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Add</w:t>
      </w:r>
      <w:r w:rsidDel="00000000" w:rsidR="00000000" w:rsidRPr="00000000">
        <w:rPr>
          <w:rFonts w:ascii="Cambria Math" w:cs="Cambria Math" w:eastAsia="Cambria Math" w:hAnsi="Cambria Math"/>
          <w:b w:val="1"/>
          <w:bCs w:val="1"/>
          <w:color w:val="366091"/>
          <w:sz w:val="28"/>
          <w:szCs w:val="28"/>
          <w:rtl w:val="0"/>
        </w:rPr>
        <w:t xml:space="preserve">‑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Ons &amp; Upgrades</w:t>
      </w:r>
    </w:p>
    <w:tbl>
      <w:tblPr>
        <w:tblStyle w:val="Table1"/>
        <w:tblW w:w="8620.0" w:type="dxa"/>
        <w:jc w:val="left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4310"/>
        <w:gridCol w:w="4310"/>
        <w:tblGridChange w:id="0">
          <w:tblGrid>
            <w:gridCol w:w="4310"/>
            <w:gridCol w:w="43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Decor Rental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Varies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Decorator Fee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$700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Additional Bartender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$200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Wood Tables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$75 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Drapery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$250–$450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Bonfire</w:t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$150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Brown Reception Chairs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$300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151–180 Guests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$250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Officiant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$250</w:t>
            </w:r>
          </w:p>
        </w:tc>
      </w:tr>
    </w:tbl>
    <w:p w:rsidR="00000000" w:rsidDel="00000000" w:rsidP="00000000" w:rsidRDefault="00000000" w:rsidRPr="00000000" w14:paraId="00000076">
      <w:pPr>
        <w:keepNext w:val="1"/>
        <w:keepLines w:val="1"/>
        <w:spacing w:after="0" w:before="480" w:lineRule="auto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Guest Capacity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- Standard capacity: up to 150 guests.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- 151–180 guests: +$250 fee.</w:t>
      </w:r>
    </w:p>
    <w:p w:rsidR="00000000" w:rsidDel="00000000" w:rsidP="00000000" w:rsidRDefault="00000000" w:rsidRPr="00000000" w14:paraId="00000079">
      <w:pPr>
        <w:pStyle w:val="Heading1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31.6pt;height:431.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68985" cy="378460"/>
              <wp:effectExtent b="0" l="0" r="0" t="0"/>
              <wp:wrapNone/>
              <wp:docPr descr="Serco Business" id="165920677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66270" y="3595533"/>
                        <a:ext cx="759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37373"/>
                              <w:sz w:val="20"/>
                              <w:vertAlign w:val="baseline"/>
                            </w:rPr>
                            <w:t xml:space="preserve">Serco Business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68985" cy="378460"/>
              <wp:effectExtent b="0" l="0" r="0" t="0"/>
              <wp:wrapNone/>
              <wp:docPr descr="Serco Business" id="1659206773" name="image2.png"/>
              <a:graphic>
                <a:graphicData uri="http://schemas.openxmlformats.org/drawingml/2006/picture">
                  <pic:pic>
                    <pic:nvPicPr>
                      <pic:cNvPr descr="Serco Business"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8985" cy="3784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31.6pt;height:431.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The Hitchin’ Post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31.6pt;height:431.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68985" cy="378460"/>
              <wp:effectExtent b="0" l="0" r="0" t="0"/>
              <wp:wrapNone/>
              <wp:docPr descr="Serco Business" id="165920677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966270" y="3595533"/>
                        <a:ext cx="75946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737373"/>
                              <w:sz w:val="20"/>
                              <w:vertAlign w:val="baseline"/>
                            </w:rPr>
                            <w:t xml:space="preserve">Serco Business</w:t>
                          </w:r>
                        </w:p>
                      </w:txbxContent>
                    </wps:txbx>
                    <wps:bodyPr anchorCtr="0" anchor="t" bIns="0" lIns="0" spcFirstLastPara="1" rIns="0" wrap="square" tIns="1905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68985" cy="378460"/>
              <wp:effectExtent b="0" l="0" r="0" t="0"/>
              <wp:wrapNone/>
              <wp:docPr descr="Serco Business" id="1659206774" name="image3.png"/>
              <a:graphic>
                <a:graphicData uri="http://schemas.openxmlformats.org/drawingml/2006/picture">
                  <pic:pic>
                    <pic:nvPicPr>
                      <pic:cNvPr descr="Serco Business"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8985" cy="3784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libri" w:cs="Calibri" w:eastAsia="Calibri" w:hAnsi="Calibri"/>
        <w:b w:val="1"/>
        <w:bCs w:val="1"/>
      </w:rPr>
    </w:tblStylePr>
    <w:tblStylePr w:type="fir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libri" w:cs="Calibri" w:eastAsia="Calibri" w:hAnsi="Calibri"/>
        <w:b w:val="1"/>
        <w:bCs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" w:cs="Calibri" w:eastAsia="Calibri" w:hAnsi="Calibri"/>
        <w:b w:val="1"/>
        <w:bCs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ArsKUf8NsCgLsXOysT+iNl/ZA==">CgMxLjA4AHIhMXZpRXM1Uml5UzI5cjFURjF0d3hmMFRSRVhkRGw4SEtB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2025-11-15T20:34:00Z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62e57c74,24f0a565,55e91ea8</vt:lpwstr>
  </property>
  <property fmtid="{D5CDD505-2E9C-101B-9397-08002B2CF9AE}" pid="3" name="ClassificationContentMarkingHeaderFontProps">
    <vt:lpwstr>#737373,10,Calibri</vt:lpwstr>
  </property>
  <property fmtid="{D5CDD505-2E9C-101B-9397-08002B2CF9AE}" pid="4" name="ClassificationContentMarkingHeaderText">
    <vt:lpwstr>Serco Business</vt:lpwstr>
  </property>
  <property fmtid="{D5CDD505-2E9C-101B-9397-08002B2CF9AE}" pid="5" name="MSIP_Label_d6fb369a-307f-449b-a188-56348c6f1760_Enabled">
    <vt:lpwstr>true</vt:lpwstr>
  </property>
  <property fmtid="{D5CDD505-2E9C-101B-9397-08002B2CF9AE}" pid="6" name="MSIP_Label_d6fb369a-307f-449b-a188-56348c6f1760_SetDate">
    <vt:lpwstr>2025-11-15T20:26:43Z</vt:lpwstr>
  </property>
  <property fmtid="{D5CDD505-2E9C-101B-9397-08002B2CF9AE}" pid="7" name="MSIP_Label_d6fb369a-307f-449b-a188-56348c6f1760_Method">
    <vt:lpwstr>Standard</vt:lpwstr>
  </property>
  <property fmtid="{D5CDD505-2E9C-101B-9397-08002B2CF9AE}" pid="8" name="MSIP_Label_d6fb369a-307f-449b-a188-56348c6f1760_Name">
    <vt:lpwstr>d6fb369a-307f-449b-a188-56348c6f1760</vt:lpwstr>
  </property>
  <property fmtid="{D5CDD505-2E9C-101B-9397-08002B2CF9AE}" pid="9" name="MSIP_Label_d6fb369a-307f-449b-a188-56348c6f1760_SiteId">
    <vt:lpwstr>f93616dd-45a6-40c8-9e29-adab2fb5f25c</vt:lpwstr>
  </property>
  <property fmtid="{D5CDD505-2E9C-101B-9397-08002B2CF9AE}" pid="10" name="MSIP_Label_d6fb369a-307f-449b-a188-56348c6f1760_ActionId">
    <vt:lpwstr>773a2575-789a-4cb7-8445-af7b636b54ef</vt:lpwstr>
  </property>
  <property fmtid="{D5CDD505-2E9C-101B-9397-08002B2CF9AE}" pid="11" name="MSIP_Label_d6fb369a-307f-449b-a188-56348c6f1760_ContentBits">
    <vt:lpwstr>1</vt:lpwstr>
  </property>
  <property fmtid="{D5CDD505-2E9C-101B-9397-08002B2CF9AE}" pid="12" name="MSIP_Label_d6fb369a-307f-449b-a188-56348c6f1760_Tag">
    <vt:lpwstr>10, 3, 0, 1</vt:lpwstr>
  </property>
</Properties>
</file>